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center"/>
        <w:rPr>
          <w:rFonts w:ascii="Arial" w:eastAsia="Times New Roman" w:hAnsi="Arial" w:cs="Arial"/>
          <w:b/>
          <w:color w:val="816551"/>
          <w:sz w:val="24"/>
          <w:szCs w:val="24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24"/>
          <w:szCs w:val="24"/>
          <w:lang w:eastAsia="ru-RU"/>
        </w:rPr>
        <w:t>Информация о специальных условиях для обучения инвалидов и лиц с ограниченными возможностями здоровья: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center"/>
        <w:rPr>
          <w:rFonts w:ascii="Arial" w:eastAsia="Times New Roman" w:hAnsi="Arial" w:cs="Arial"/>
          <w:b/>
          <w:color w:val="816551"/>
          <w:sz w:val="24"/>
          <w:szCs w:val="24"/>
          <w:lang w:eastAsia="ru-RU"/>
        </w:rPr>
      </w:pP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 Организация образовательной деятельности для воспитанников с ограниченными возможностями здоровья в муниципальном бюджетном дошкольном образовате</w:t>
      </w:r>
      <w:r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льном учреждении детском саду №7 города Уссурийска Уссурийского городского округа 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Приморского края  осуществляется в соответствии с Федеральным законом «Об образовании в Российской Федерации" от 29 декабря 2012 г. N 273-ФЗ",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образования», локальными актами дошкольного учреждения.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  Под специальными условиями получения образования детьми с инвалидностью и ОВЗ понимаются условия обучения, воспитания и развития, включающие в себя:</w:t>
      </w:r>
    </w:p>
    <w:p w:rsidR="001533CA" w:rsidRPr="001533CA" w:rsidRDefault="001533CA" w:rsidP="001533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использование адаптированных образовательных программ (в том числе, программ коррекционной работы, индивидуальных специальных образовательных программ);</w:t>
      </w:r>
    </w:p>
    <w:p w:rsidR="001533CA" w:rsidRPr="001533CA" w:rsidRDefault="001533CA" w:rsidP="001533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специальных методов обучения и воспитания;</w:t>
      </w:r>
    </w:p>
    <w:p w:rsidR="001533CA" w:rsidRPr="001533CA" w:rsidRDefault="001533CA" w:rsidP="001533C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проведение групповых и индивидуальных коррекционных занятий и другие условия, без которых невозможно или затруднено освоение образовательных программ обучающимися с инвалидностью и ограниченными возможностями здоровья.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  Согласно части 3 статьи 65 Федерального закона от 29 декабря 2012года №273-ФЗ «Об образовании в Российской </w:t>
      </w:r>
      <w:proofErr w:type="gram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Федерации»  за</w:t>
      </w:r>
      <w:proofErr w:type="gram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присмотр и уход за детьми –инвалидами, детьми 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На все интересующие Вас вопросы также можно получить информацию по тел.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8(4234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) 2</w:t>
      </w:r>
      <w:r>
        <w:rPr>
          <w:rFonts w:ascii="Arial" w:eastAsia="Times New Roman" w:hAnsi="Arial" w:cs="Arial"/>
          <w:color w:val="816551"/>
          <w:sz w:val="18"/>
          <w:szCs w:val="18"/>
          <w:lang w:eastAsia="ru-RU"/>
        </w:rPr>
        <w:t>6-93-32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.</w:t>
      </w:r>
    </w:p>
    <w:p w:rsidR="001533CA" w:rsidRPr="001533CA" w:rsidRDefault="001533CA" w:rsidP="008C3FC4">
      <w:pPr>
        <w:shd w:val="clear" w:color="auto" w:fill="FFFFFF"/>
        <w:spacing w:before="30" w:after="30" w:line="240" w:lineRule="auto"/>
        <w:ind w:left="30" w:right="30"/>
        <w:jc w:val="center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bookmarkStart w:id="0" w:name="_GoBack"/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Обеспечение доступа в здание образовательной организации инвалидов и лиц с ограниченными возможностями здоровья</w:t>
      </w:r>
    </w:p>
    <w:bookmarkEnd w:id="0"/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 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Территория ДОО соответствует условиям беспрепятственного, безопасного и удобного передвижения </w:t>
      </w:r>
      <w:r w:rsidR="008C3FC4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маломобильных детей и родителей, обеспечен доступ к зданиям и сооружениям. Центральный вход оборудован кнопкой вызова.</w:t>
      </w:r>
    </w:p>
    <w:p w:rsidR="001533CA" w:rsidRPr="001533CA" w:rsidRDefault="001533CA" w:rsidP="001533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i/>
          <w:iCs/>
          <w:color w:val="816551"/>
          <w:sz w:val="18"/>
          <w:szCs w:val="18"/>
          <w:lang w:eastAsia="ru-RU"/>
        </w:rPr>
        <w:t>Имеется</w:t>
      </w:r>
      <w:r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пандус </w:t>
      </w:r>
    </w:p>
    <w:p w:rsidR="001533CA" w:rsidRPr="001533CA" w:rsidRDefault="001533CA" w:rsidP="001533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Ширина дверных проемов входа в детский сад позволяет свободный вход инвалидов-колясочников. </w:t>
      </w:r>
    </w:p>
    <w:p w:rsidR="001533CA" w:rsidRPr="001533CA" w:rsidRDefault="001533CA" w:rsidP="001533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i/>
          <w:iCs/>
          <w:color w:val="816551"/>
          <w:sz w:val="18"/>
          <w:szCs w:val="18"/>
          <w:lang w:eastAsia="ru-RU"/>
        </w:rPr>
        <w:t>Имеется 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наличие специальных кресел - колясок.</w:t>
      </w:r>
    </w:p>
    <w:p w:rsidR="001533CA" w:rsidRPr="001533CA" w:rsidRDefault="001533CA" w:rsidP="001533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i/>
          <w:iCs/>
          <w:color w:val="816551"/>
          <w:sz w:val="18"/>
          <w:szCs w:val="18"/>
          <w:lang w:eastAsia="ru-RU"/>
        </w:rPr>
        <w:t>Имеется 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дублирование надписей, знаков и иной текстовой и графической информации знаками, выполненными рельефно - точечным шрифтом Брайля.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ДОУ функционирует с 0015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года. В настоящее время ДОУ располагается в двухэтажном здании. 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ограниченными возможностями здоровья (ОВЗ). Центральный вход оборудован кнопкой вызова.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Тифлотехника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, тактильные плитки,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 специально оборудованных учебных кабинетах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Кабинет учителя-логопеда оснащены развивающими играми, пособиями и оборудованием, предназначенными для проведения специальной коррекционно-развивающей работы.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Методический кабинет, обеспеченный программно-методической литературой необходимой для ведения педагогического процесса. В кабинете имеются наглядно-дидактические материалы, материалы из опыта работы педагогов ДОУ, компьютер для ведения документации и работы с педагогами. Оборудованы компьютеризированные рабочие места для педагогов, с принтером и выходом в интернет, позволяющее готовить дидактический материал к педагогическому процессу и документацию, установлено мультимедийное оборудование.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 </w:t>
      </w: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В групповых помещениях пространство организовано таким образом, чтобы было достаточно места для занятий игровой и учебной деятельностью. Помещения групп детского сада оснащены современной, безопасной,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экологичной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детской и игровой мебелью, с учетом возрастных особенностей детей и соответствующими современными требованиями. Мебель целесообразно расставлена относительно света и с учетом размещения центров активности детей, отведенных для игр, совместной, самостоятельной деятельности дошкольников. Развивающая предметно-пространственная среда в </w:t>
      </w:r>
      <w:proofErr w:type="gram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группах  формирует</w:t>
      </w:r>
      <w:proofErr w:type="gram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игровые навыки у детей и способствует развитию личности дошкольника. Развивающая предметно-пространственная среда в МБДОУ регулярно обновляется в соответствии с ФГОС ДО, возрастом детей и санитарными нормами. Пространство каждой группы разделено на функциональные зоны с большим разнообразием игр, игрушек в соответствии с возрастом детей, наличием мест для самостоятельных игр и уединения ребёнка. Развивающая предметно-пространственная среда в группах постоянно обновляется. В группах имеется достаточное количество развивающих игр, много разнообразного дидактического материала. 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lastRenderedPageBreak/>
        <w:t>Дошкольники должны много двигаться, поэтому в помещениях каждой возрастной группы имеется всё необходимое для развития двигательной активности детей:</w:t>
      </w:r>
    </w:p>
    <w:p w:rsidR="001533CA" w:rsidRPr="001533CA" w:rsidRDefault="001533CA" w:rsidP="001533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спортивные уголки (кегли, мячи, оборудование для зарядки и т.д.);</w:t>
      </w:r>
    </w:p>
    <w:p w:rsidR="001533CA" w:rsidRPr="001533CA" w:rsidRDefault="001533CA" w:rsidP="001533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наборы кукольной мебели, посуды, одежды для кукол, костюмов для переодевания, машинки, </w:t>
      </w:r>
      <w:proofErr w:type="gram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коляски,  «</w:t>
      </w:r>
      <w:proofErr w:type="gram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Парикмахерская», сюжетно-ролевые игры: «Семья», «Больница», «Путешествие», «Театр»;</w:t>
      </w:r>
    </w:p>
    <w:p w:rsidR="001533CA" w:rsidRPr="001533CA" w:rsidRDefault="001533CA" w:rsidP="001533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оборудованы центры для продуктивной деятельности: по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изодеятельности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с материалами для рисования, лепки и аппликации, конструирования, схемы и образцы изготовления поделок; </w:t>
      </w:r>
    </w:p>
    <w:p w:rsidR="001533CA" w:rsidRPr="001533CA" w:rsidRDefault="001533CA" w:rsidP="001533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уголки наблюдения и экспериментирования;</w:t>
      </w:r>
    </w:p>
    <w:p w:rsidR="001533CA" w:rsidRPr="001533CA" w:rsidRDefault="001533CA" w:rsidP="001533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для речевого развития в каждом групповом помещении подобрана художественная литература с яркими иллюстрациями для детей, демонстрационные материалы по лексическим темам, методические пособия.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     </w:t>
      </w: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 библиотеке(ах) приспособленных для использования инвалидами и лицами с ограниченными возможностями здоровья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       Специального оборудованного помещения для размещения библиотечного фонда в ДОО не предусмотрено действующим законодательством.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Об объектах спорта, приспособленных для использования инвалидами и людьми с ограниченными возможностями здоровья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  Отдельное оборудованное физкультурно-спортивное помещение в ДОУ отсутствует. Музыкальный зал совмещен с физкультурным. В зале имеется стандартное и нестандартное оборудование и спортивный инвентарь, необходимые для ведения физкультурно-оздоровительной работы: физкультурное оборудование - гимнастическая стенка, гимнастическая доска, гимнастическая скамейка, мишени разных типов, стойки и планки для прыжков; спортивный инвентарь - мячи, мешки с песком, обручи, ленточки, палки гимнастические, кубики, погремушки, шнуры, скакалки, гантели, батут и др.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Средства обучения и воспитания, приспособленные для использования инвалидами и лицами с ограниченными возможностями здоровья, отсутствуют. Инвалиды и лица с ОВЗ небольшой и средней тяжести могут участвовать в образовательном процессе на общих основаниях.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Условия питания обучающихся, инвалидов и лиц с ограниченными возможностями здоровья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Регулярное сбалансированное питание организовано на общих условиях. Создание отдельного меню для инвалидов и лиц с ОВЗ не практикуется.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 специальных условиях охраны здоровья.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    В учреждении функционирует отдельный медицинский блок, который </w:t>
      </w:r>
      <w:proofErr w:type="gram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состоит  из</w:t>
      </w:r>
      <w:proofErr w:type="gram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приёмной, изолятора, процедурного кабинета и укомплектован медицинским оборудованием в соответствии с требованиями приказа Министерства здравоохранения и социального  от 05 ноября 2013 года №822н. Медицинское обслуживание детей, в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т.ч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. детей с ОВЗ небольшой и средней тяжести в детском саду осуществляет внештатный работник медицинская сестра ЦРБ с. Хороль.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  Охрана здоровья ребенка-инвалида осуществляется в соответствии с учетом рекомендаций индивидуальной программы реабилитации (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абилитации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).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  Доступ воспитанников к информационным системам и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информационнокоммуникационным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сетям не обеспечивается. Специально оборудованного компьютерного кабинета с доступом к информационным системам и информационно-телекоммуникационным сетям для использования инвалидами и лицами с ограниченными возможностями здоровья нет. Особые условия доступа к информационным системам и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информационнокоммуникационным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сетям для инвалидов и лиц с ОВЗ представлены при работе с официальным сайтом детского сада — версия для слабовидящих.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   Наличие специальных технических средств обучения коллективного и индивидуального пользования для инвалидов и лиц с ОВЗ. </w:t>
      </w:r>
    </w:p>
    <w:p w:rsidR="001533CA" w:rsidRPr="001533CA" w:rsidRDefault="001533CA" w:rsidP="001533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интерактивная доска</w:t>
      </w:r>
    </w:p>
    <w:p w:rsidR="001533CA" w:rsidRPr="001533CA" w:rsidRDefault="001533CA" w:rsidP="001533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комплекс интерактивных компьютерных игр и упражнения по развитию и коррекции внимания, восприятия, памяти, мышления</w:t>
      </w:r>
    </w:p>
    <w:p w:rsidR="001533CA" w:rsidRPr="001533CA" w:rsidRDefault="001533CA" w:rsidP="001533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телевизоры</w:t>
      </w:r>
    </w:p>
    <w:p w:rsidR="001533CA" w:rsidRPr="001533CA" w:rsidRDefault="001533CA" w:rsidP="001533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стол для рисования песком</w:t>
      </w:r>
    </w:p>
    <w:p w:rsidR="001533CA" w:rsidRPr="001533CA" w:rsidRDefault="001533CA" w:rsidP="001533C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музыкальный центр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 </w:t>
      </w: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Общежитие, интернат и иные жилые помещения для лиц с ограниченными возможностями здоровья и инвалидам в ДОУ не предусмотрены.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hyperlink r:id="rId5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Государственная программа Российской Федерации «Доступная среда» на 2011 - 2025 годы</w:t>
        </w:r>
      </w:hyperlink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Официальный сайт государственной программы «</w:t>
      </w:r>
      <w:hyperlink r:id="rId6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Доступная среда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»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Государственный заказчик-координатор и основные разработчики Программы «Доступная среда» 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Министерство труда и социальной защиты Российской Федерации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Цели Государственной программы «Доступная среда» на 2011-2025 годы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Целью государственной программы является 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lastRenderedPageBreak/>
        <w:t>Задачи государственной программы «Доступная среда» на 2011-2025 годы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обеспечение равного доступа инвалидов к реабилитационным и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абилитационным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услугам, включая обеспечение равного доступа к профессиональному развитию и трудоустройству инвалидов;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обеспечение объективности и прозрачности деятельности учреждений медико-социальной экспертизы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 Подпрограммы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Подпрограмма 1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населения";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Подпрограмма 2 "Совершенствование системы комплексной реабилитации и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абилитации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инвалидов";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Подпрограмма 3 "Совершенствование государственной системы медико-социальной экспертизы"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Создание доступной среды для всех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В данный момент проектирование и создание доступной среды для инвалидов является одной из важнейших частей социальный политики каждого государства. Эта инициатива направлена на обеспечение людям, ограниченным физически, равные возможности в любой сфере повседневной жизни. Большинство современных международных договоренностей и законодательств диктуют странам необходимость создания достойных условий, при которых становится возможным максимальное развитие способностей инвалидов и их интеграция в общество. Одним из критериев данного политического направления является создание доступной среды для людей с физическими ограничениями и предоставление им возможности работать и получать образование наравне со здоровыми членами общества.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Задачи организации доступной среды в рамках школы:</w:t>
      </w:r>
    </w:p>
    <w:p w:rsidR="001533CA" w:rsidRPr="001533CA" w:rsidRDefault="001533CA" w:rsidP="001533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развитие инклюзивного образования;</w:t>
      </w:r>
    </w:p>
    <w:p w:rsidR="001533CA" w:rsidRPr="001533CA" w:rsidRDefault="001533CA" w:rsidP="001533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создания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безбаръерной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школьной среды для детей-инвалидов;</w:t>
      </w:r>
    </w:p>
    <w:p w:rsidR="001533CA" w:rsidRPr="001533CA" w:rsidRDefault="001533CA" w:rsidP="001533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создание информационно-справочной поддержки по вопросам инвалидности;</w:t>
      </w:r>
    </w:p>
    <w:p w:rsidR="001533CA" w:rsidRPr="001533CA" w:rsidRDefault="001533CA" w:rsidP="001533C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формирование доступной среды.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Проект доступная среда – общие понятия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Термин </w:t>
      </w: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«</w:t>
      </w:r>
      <w:proofErr w:type="spellStart"/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безбарьерная</w:t>
      </w:r>
      <w:proofErr w:type="spellEnd"/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»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или </w:t>
      </w: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«доступная» среда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 в данный момент упоминается в большом количестве законодательных актов Российской Федерации и имеет различное толкование в зависимости от источника. Если обобщить все имеющиеся определения, то термин будет звучать следующим образом: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Безбарьерной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средой называют элементы, внедренные в окружающий мир, которые предоставляют возможность людям с сенсорными, физическими и интеллектуальными нарушениями могли свободно перемещаться и взаимодействовать с различными его элементами.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Если посмотреть на это понятие в более широком </w:t>
      </w:r>
      <w:proofErr w:type="gram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смысле</w:t>
      </w:r>
      <w:proofErr w:type="gram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то становится понятно, что организация доступной среды – это организация наиболее безопасных и легких условий для наибольшего количества людей. Так, к примеру, плавный съезд, спуск или пандус, может быть использован не только инвалидами, он и обычными людьми, так как в большинстве случаев это более удобно и менее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энергозатратно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Организация доступной среды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подразумевает оборудование поверхностей специальными поручными, пандусами и особой плиткой, которая поможет легче передвигаться не только инвалидам, но и детям, пожилым людям и беременным женщинам.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Инвалид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— человек, имеющий нарушения здоровья со стойким расстройством функций организма, в том числе с поражением опорно-двигательного аппарата, недостатками зрения и дефектами слуха, приводящими к ограничению жизнедеятельности и вызывающими необходимость его социальной защиты.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b/>
          <w:bCs/>
          <w:color w:val="816551"/>
          <w:sz w:val="18"/>
          <w:szCs w:val="18"/>
          <w:lang w:eastAsia="ru-RU"/>
        </w:rPr>
        <w:t>Маломобильные группы населения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— это люди испытывающие затруднения при самостоятельном передвижении, получении услуги, необходимой информации или при ориентировании в пространстве: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инвалиды, люди с временным нарушением здоровья, беременные женщины, люди старших возрастов, люди с детскими колясками и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т.п</w:t>
      </w:r>
      <w:proofErr w:type="spellEnd"/>
    </w:p>
    <w:p w:rsidR="001533CA" w:rsidRPr="001533CA" w:rsidRDefault="008C3FC4" w:rsidP="001533C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hyperlink r:id="rId7" w:tgtFrame="_blank" w:history="1">
        <w:r w:rsidR="001533CA"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Федеральный перечень ОО, осуществляющих обучение по АООП для обучающихся с ОВЗ, включенных в государственную программу РФ "Доступная среда" на 2011-2020 годов</w:t>
        </w:r>
      </w:hyperlink>
    </w:p>
    <w:p w:rsidR="001533CA" w:rsidRPr="001533CA" w:rsidRDefault="008C3FC4" w:rsidP="001533C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hyperlink r:id="rId8" w:tgtFrame="_blank" w:history="1">
        <w:r w:rsidR="001533CA"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 xml:space="preserve">Приказ "Об утверждении плана мероприятий("дорожной карты") </w:t>
        </w:r>
        <w:proofErr w:type="spellStart"/>
        <w:r w:rsidR="001533CA"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МОиН</w:t>
        </w:r>
        <w:proofErr w:type="spellEnd"/>
        <w:r w:rsidR="001533CA"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 xml:space="preserve"> РФ по повышению значений показателей доступности для инвалидов объектов и предоставляемых на них услуг в сфере образования" 02.12.2015 №1399</w:t>
        </w:r>
      </w:hyperlink>
    </w:p>
    <w:p w:rsidR="001533CA" w:rsidRPr="001533CA" w:rsidRDefault="008C3FC4" w:rsidP="001533C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hyperlink r:id="rId9" w:tgtFrame="_blank" w:history="1">
        <w:r w:rsidR="001533CA"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</w:t>
        </w:r>
      </w:hyperlink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Реабилитация людей с ограниченными возможностями является актуальной проблемой для общества и приоритетным направлением государственной социальной политики.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В России началась реализация программы по созданию (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безбарьерной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) доступной среды для инвалидов и маломобильных групп населения.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Безбарьерная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среда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1533CA" w:rsidRPr="001533CA" w:rsidRDefault="001533CA" w:rsidP="001533CA">
      <w:pPr>
        <w:shd w:val="clear" w:color="auto" w:fill="FFFFFF"/>
        <w:spacing w:before="30" w:after="30" w:line="240" w:lineRule="auto"/>
        <w:ind w:left="30" w:right="30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безбарьерной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lastRenderedPageBreak/>
        <w:t>Указ Президента РФ от 1 июня 2012 г. N 761"</w:t>
      </w:r>
      <w:hyperlink r:id="rId10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О Национальной стратегии действий в интересах детей на 2012 - 2017 годы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 </w:t>
      </w:r>
      <w:r w:rsidRPr="001533CA">
        <w:rPr>
          <w:rFonts w:ascii="Arial" w:eastAsia="Times New Roman" w:hAnsi="Arial" w:cs="Arial"/>
          <w:color w:val="816551"/>
          <w:sz w:val="18"/>
          <w:szCs w:val="18"/>
          <w:u w:val="single"/>
          <w:lang w:eastAsia="ru-RU"/>
        </w:rPr>
        <w:t>Раздел V. Равные возможности для детей, нуждающихся в особой заботе государства Пункт 2. Основные задачи</w:t>
      </w: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 «Обеспечение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 Создание системы ранней профилактики инвалидности у детей. Всесторонняя поддержка семей, воспитывающих детей - инвалидов и детей с ограниченными возможностями здоровья: создание современной комплексной инфраструктуры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реабилитационно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- 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жизни»  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Федеральный закон от 29.12.2012 N 273-ФЗ (ред. от 02.03.2016) "</w:t>
      </w:r>
      <w:hyperlink r:id="rId11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Об образовании в Российской Федерации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Приказ </w:t>
      </w:r>
      <w:proofErr w:type="spellStart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Рособрнадзора</w:t>
      </w:r>
      <w:proofErr w:type="spellEnd"/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 xml:space="preserve"> от 14.08.2020 N 831 "</w:t>
      </w:r>
      <w:hyperlink r:id="rId12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 (Зарегистрировано в Минюсте России 04.08.2014 N 33423)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Федеральный закон от 24.11.1995 N 181-ФЗ (ред. от 29.12.2015) "</w:t>
      </w:r>
      <w:hyperlink r:id="rId13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О социальной защите инвалидов в Российской Федерации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Федеральный закон от 09.02.2009 N 8-ФЗ (ред. от 09.03.2016) "</w:t>
      </w:r>
      <w:hyperlink r:id="rId14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</w:t>
      </w:r>
      <w:hyperlink r:id="rId15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Конституция Российской Федерации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 (ст.8) 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"</w:t>
      </w:r>
      <w:hyperlink r:id="rId16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Гражданский кодекс Российской Федерации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(часть четвертая)" от 18.12.2006 N 230-ФЗ (ред. от 28.11.2015, с изм. от 30.12.2015) (с изм. и доп., вступ. в силу с 01.01.2016) </w:t>
      </w:r>
    </w:p>
    <w:p w:rsidR="001533CA" w:rsidRPr="001533CA" w:rsidRDefault="008C3FC4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hyperlink r:id="rId17" w:tgtFrame="_blank" w:history="1">
        <w:r w:rsidR="001533CA"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Конвенция о правах инвалидов</w:t>
        </w:r>
      </w:hyperlink>
      <w:r w:rsidR="001533CA"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 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Постановление Правительства Российской Федерации от 17.05.2017г. «</w:t>
      </w:r>
      <w:hyperlink r:id="rId18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»</w:t>
      </w:r>
    </w:p>
    <w:p w:rsidR="001533CA" w:rsidRPr="001533CA" w:rsidRDefault="001533CA" w:rsidP="001533CA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816551"/>
          <w:sz w:val="18"/>
          <w:szCs w:val="18"/>
          <w:lang w:eastAsia="ru-RU"/>
        </w:rPr>
      </w:pPr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«</w:t>
      </w:r>
      <w:hyperlink r:id="rId19" w:tgtFrame="_blank" w:history="1">
        <w:r w:rsidRPr="001533CA">
          <w:rPr>
            <w:rFonts w:ascii="Arial" w:eastAsia="Times New Roman" w:hAnsi="Arial" w:cs="Arial"/>
            <w:color w:val="FF7019"/>
            <w:sz w:val="18"/>
            <w:szCs w:val="18"/>
            <w:lang w:eastAsia="ru-RU"/>
          </w:rPr>
          <w:t>О доступности образования для детей с ограниченными возможностями здоровья и детей-инвалидов</w:t>
        </w:r>
      </w:hyperlink>
      <w:r w:rsidRPr="001533CA">
        <w:rPr>
          <w:rFonts w:ascii="Arial" w:eastAsia="Times New Roman" w:hAnsi="Arial" w:cs="Arial"/>
          <w:color w:val="816551"/>
          <w:sz w:val="18"/>
          <w:szCs w:val="18"/>
          <w:lang w:eastAsia="ru-RU"/>
        </w:rPr>
        <w:t>»</w:t>
      </w:r>
    </w:p>
    <w:p w:rsidR="001533CA" w:rsidRPr="001533CA" w:rsidRDefault="001533CA" w:rsidP="001533CA">
      <w:pPr>
        <w:shd w:val="clear" w:color="auto" w:fill="FFFFFF"/>
        <w:spacing w:after="0" w:line="720" w:lineRule="atLeast"/>
        <w:rPr>
          <w:rFonts w:ascii="Myriad Pro" w:eastAsia="Times New Roman" w:hAnsi="Myriad Pro" w:cs="Arial"/>
          <w:b/>
          <w:bCs/>
          <w:color w:val="FFFFFF"/>
          <w:sz w:val="30"/>
          <w:szCs w:val="30"/>
          <w:lang w:eastAsia="ru-RU"/>
        </w:rPr>
      </w:pPr>
      <w:r w:rsidRPr="001533CA">
        <w:rPr>
          <w:rFonts w:ascii="Myriad Pro" w:eastAsia="Times New Roman" w:hAnsi="Myriad Pro" w:cs="Arial"/>
          <w:b/>
          <w:bCs/>
          <w:color w:val="FFFFFF"/>
          <w:sz w:val="30"/>
          <w:szCs w:val="30"/>
          <w:lang w:eastAsia="ru-RU"/>
        </w:rPr>
        <w:t>Разделы сайта</w:t>
      </w:r>
    </w:p>
    <w:p w:rsidR="00D8140F" w:rsidRDefault="008C3FC4"/>
    <w:sectPr w:rsidR="00D8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3A18"/>
    <w:multiLevelType w:val="multilevel"/>
    <w:tmpl w:val="C11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54AF2"/>
    <w:multiLevelType w:val="multilevel"/>
    <w:tmpl w:val="E502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22EB6"/>
    <w:multiLevelType w:val="multilevel"/>
    <w:tmpl w:val="878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C443C"/>
    <w:multiLevelType w:val="multilevel"/>
    <w:tmpl w:val="F4D0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F05A8"/>
    <w:multiLevelType w:val="multilevel"/>
    <w:tmpl w:val="821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A26ED"/>
    <w:multiLevelType w:val="multilevel"/>
    <w:tmpl w:val="2F52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0342F"/>
    <w:multiLevelType w:val="multilevel"/>
    <w:tmpl w:val="3768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3D"/>
    <w:rsid w:val="001533CA"/>
    <w:rsid w:val="0063563D"/>
    <w:rsid w:val="006940FF"/>
    <w:rsid w:val="008478E2"/>
    <w:rsid w:val="008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C98C"/>
  <w15:chartTrackingRefBased/>
  <w15:docId w15:val="{EE92B284-2C78-4568-8673-22732872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80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1" w:color="4FD8E6"/>
                            <w:left w:val="dashed" w:sz="6" w:space="4" w:color="4FD8E6"/>
                            <w:bottom w:val="dashed" w:sz="6" w:space="11" w:color="4FD8E6"/>
                            <w:right w:val="dashed" w:sz="6" w:space="4" w:color="4FD8E6"/>
                          </w:divBdr>
                          <w:divsChild>
                            <w:div w:id="86621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495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11" w:color="CCCCCC"/>
                                    <w:bottom w:val="single" w:sz="6" w:space="4" w:color="CCCCCC"/>
                                    <w:right w:val="single" w:sz="6" w:space="11" w:color="CCCCCC"/>
                                  </w:divBdr>
                                  <w:divsChild>
                                    <w:div w:id="21312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1819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11" w:color="CCCCCC"/>
                                    <w:bottom w:val="single" w:sz="6" w:space="4" w:color="CCCCCC"/>
                                    <w:right w:val="single" w:sz="6" w:space="11" w:color="CCCCCC"/>
                                  </w:divBdr>
                                  <w:divsChild>
                                    <w:div w:id="20708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4964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9909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FF7019"/>
                        <w:left w:val="dashed" w:sz="6" w:space="11" w:color="FF7019"/>
                        <w:bottom w:val="dashed" w:sz="6" w:space="11" w:color="FF7019"/>
                        <w:right w:val="dashed" w:sz="6" w:space="11" w:color="FF7019"/>
                      </w:divBdr>
                      <w:divsChild>
                        <w:div w:id="628706079">
                          <w:marLeft w:val="-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01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1996301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707072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20268598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14355169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8713063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18341063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15778629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15461373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734016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16614213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  <w:div w:id="15494169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4FD8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49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715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FF7019"/>
                        <w:left w:val="dashed" w:sz="6" w:space="11" w:color="FF7019"/>
                        <w:bottom w:val="dashed" w:sz="6" w:space="11" w:color="FF7019"/>
                        <w:right w:val="dashed" w:sz="6" w:space="11" w:color="FF7019"/>
                      </w:divBdr>
                      <w:divsChild>
                        <w:div w:id="1547522339">
                          <w:marLeft w:val="-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87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6970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4FD8E6"/>
                        <w:left w:val="dashed" w:sz="6" w:space="11" w:color="4FD8E6"/>
                        <w:bottom w:val="dashed" w:sz="6" w:space="11" w:color="4FD8E6"/>
                        <w:right w:val="dashed" w:sz="6" w:space="11" w:color="4FD8E6"/>
                      </w:divBdr>
                      <w:divsChild>
                        <w:div w:id="240063888">
                          <w:marLeft w:val="-1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ils.ru/upload/pupils/information_system_782/1/8/2/4/9/item_182498/information_items_property_95916.pdf" TargetMode="External"/><Relationship Id="rId13" Type="http://schemas.openxmlformats.org/officeDocument/2006/relationships/hyperlink" Target="http://www.consultant.ru/document/cons_doc_LAW_8559/" TargetMode="External"/><Relationship Id="rId18" Type="http://schemas.openxmlformats.org/officeDocument/2006/relationships/hyperlink" Target="http://www.pravo.gov.ru/laws/acts/39/53555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upils.ru/upload/pupils/information_system_782/1/8/2/4/9/item_182497/information_items_property_95914.pdf" TargetMode="External"/><Relationship Id="rId12" Type="http://schemas.openxmlformats.org/officeDocument/2006/relationships/hyperlink" Target="https://normativ.kontur.ru/document?moduleId=1100&amp;documentId=14296" TargetMode="External"/><Relationship Id="rId17" Type="http://schemas.openxmlformats.org/officeDocument/2006/relationships/hyperlink" Target="http://www.un.org/ru/documents/decl_conv/conventions/disability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6462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hit-vmeste.ru/" TargetMode="Externa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s://mintrud.gov.ru/ministry/programms/3/0/" TargetMode="External"/><Relationship Id="rId15" Type="http://schemas.openxmlformats.org/officeDocument/2006/relationships/hyperlink" Target="http://www.constitution.ru/" TargetMode="Externa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government.ru/orders/selection/405/276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pils.ru/upload/pupils/information_system_782/1/8/2/4/9/item_182499/information_items_property_95918.pdf" TargetMode="External"/><Relationship Id="rId14" Type="http://schemas.openxmlformats.org/officeDocument/2006/relationships/hyperlink" Target="http://www.consultant.ru/document/cons_doc_LAW_84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2764</Words>
  <Characters>15756</Characters>
  <Application>Microsoft Office Word</Application>
  <DocSecurity>0</DocSecurity>
  <Lines>131</Lines>
  <Paragraphs>36</Paragraphs>
  <ScaleCrop>false</ScaleCrop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подплетько</dc:creator>
  <cp:keywords/>
  <dc:description/>
  <cp:lastModifiedBy>юлия подплетько</cp:lastModifiedBy>
  <cp:revision>5</cp:revision>
  <dcterms:created xsi:type="dcterms:W3CDTF">2021-06-23T03:21:00Z</dcterms:created>
  <dcterms:modified xsi:type="dcterms:W3CDTF">2021-06-23T03:28:00Z</dcterms:modified>
</cp:coreProperties>
</file>